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EF09D">
      <w:pPr>
        <w:widowControl/>
        <w:kinsoku w:val="0"/>
        <w:autoSpaceDE w:val="0"/>
        <w:autoSpaceDN w:val="0"/>
        <w:adjustRightInd w:val="0"/>
        <w:snapToGrid w:val="0"/>
        <w:spacing w:before="100" w:line="226" w:lineRule="auto"/>
        <w:ind w:left="26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-6"/>
          <w:kern w:val="0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-6"/>
          <w:kern w:val="0"/>
          <w:sz w:val="31"/>
          <w:szCs w:val="31"/>
          <w:lang w:val="en-US" w:eastAsia="zh-CN"/>
        </w:rPr>
        <w:t>附件1</w:t>
      </w:r>
    </w:p>
    <w:p w14:paraId="2922EBB1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高校实验室安全分级表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5"/>
        <w:gridCol w:w="6717"/>
      </w:tblGrid>
      <w:tr w14:paraId="5CDC4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805" w:type="dxa"/>
          </w:tcPr>
          <w:p w14:paraId="5659D098">
            <w:pPr>
              <w:pStyle w:val="6"/>
              <w:spacing w:before="94" w:line="325" w:lineRule="auto"/>
              <w:ind w:right="106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安全级别</w:t>
            </w:r>
          </w:p>
        </w:tc>
        <w:tc>
          <w:tcPr>
            <w:tcW w:w="6717" w:type="dxa"/>
            <w:vAlign w:val="center"/>
          </w:tcPr>
          <w:p w14:paraId="10C5596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分级依据</w:t>
            </w:r>
          </w:p>
        </w:tc>
      </w:tr>
      <w:tr w14:paraId="7D117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0" w:hRule="atLeast"/>
        </w:trPr>
        <w:tc>
          <w:tcPr>
            <w:tcW w:w="1805" w:type="dxa"/>
          </w:tcPr>
          <w:p w14:paraId="177DED02"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Ⅰ级实验室（重大风险实验室）</w:t>
            </w:r>
          </w:p>
        </w:tc>
        <w:tc>
          <w:tcPr>
            <w:tcW w:w="6717" w:type="dxa"/>
          </w:tcPr>
          <w:p w14:paraId="5242ED22">
            <w:pP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实验室有以下情况之一的： </w:t>
            </w:r>
          </w:p>
          <w:p w14:paraId="27B34739">
            <w:pP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（1） 实验原料或产物含剧毒化学成分； </w:t>
            </w:r>
          </w:p>
          <w:p w14:paraId="5E8F44BB">
            <w:pP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（2） 使用剧毒化学品； </w:t>
            </w:r>
          </w:p>
          <w:p w14:paraId="01506FD8">
            <w:pP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（3） 存储第一类易制毒品、第一类精神药品； </w:t>
            </w:r>
          </w:p>
          <w:p w14:paraId="6DE8DAC8">
            <w:pP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（4） 存储易燃易爆化学品总量大于 50kg 或 50L； </w:t>
            </w:r>
          </w:p>
          <w:p w14:paraId="69DB15F4">
            <w:pP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（5） 存储有毒、易燃气体总量≥6 瓶； </w:t>
            </w:r>
          </w:p>
          <w:p w14:paraId="0758FFFF">
            <w:pP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（6） 生物安全 BSL-3、ABSL-3、BSL-4、ABSL-4 实验室； </w:t>
            </w:r>
          </w:p>
          <w:p w14:paraId="43480D51">
            <w:pP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（7） 使用 I、II 类射线设备； </w:t>
            </w:r>
          </w:p>
          <w:p w14:paraId="3B5D2357">
            <w:pP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（8） 使用放射性同位素、放射源、核材料； </w:t>
            </w:r>
          </w:p>
          <w:p w14:paraId="3D7C689F">
            <w:pP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（9） 使用机电类特种设备； </w:t>
            </w:r>
          </w:p>
          <w:p w14:paraId="096B6693">
            <w:pP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（10）使用超高压等第三类压力容器； </w:t>
            </w:r>
          </w:p>
          <w:p w14:paraId="0DB14ABA">
            <w:pP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（11）使用强磁、强电设备； </w:t>
            </w:r>
          </w:p>
          <w:p w14:paraId="3474ECD7">
            <w:pP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（12）使用 4、3R、3B 类激光设备；</w:t>
            </w:r>
          </w:p>
          <w:p w14:paraId="039CD934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（13）使用富氧涉爆实验室自制设备； </w:t>
            </w:r>
          </w:p>
          <w:p w14:paraId="17EA0D6E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（14）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按照《高校实验室安全风险评价表》评分达到100分的实验室</w:t>
            </w:r>
          </w:p>
        </w:tc>
      </w:tr>
      <w:tr w14:paraId="218E6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</w:trPr>
        <w:tc>
          <w:tcPr>
            <w:tcW w:w="1805" w:type="dxa"/>
          </w:tcPr>
          <w:p w14:paraId="32B7D677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Ⅱ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级实验室（高风险实验室）</w:t>
            </w:r>
          </w:p>
        </w:tc>
        <w:tc>
          <w:tcPr>
            <w:tcW w:w="6717" w:type="dxa"/>
          </w:tcPr>
          <w:p w14:paraId="3471EFFC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实验室有以下情况之一的：</w:t>
            </w:r>
          </w:p>
          <w:p w14:paraId="7708C9BD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（1） 存储第二类精神药品；</w:t>
            </w:r>
          </w:p>
          <w:p w14:paraId="39D10731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（2） 存储易燃易爆化学品总量为 20~50kg 或 20~50L；</w:t>
            </w:r>
          </w:p>
          <w:p w14:paraId="77811EDB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（3） 存储有毒、易燃气体总量为 3~6（不含）瓶；</w:t>
            </w:r>
          </w:p>
          <w:p w14:paraId="16EAA328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（4） 生物安全 BSL-2 、ABSL-2 实验室；</w:t>
            </w:r>
          </w:p>
          <w:p w14:paraId="21E8FDCB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（5） 使用第一类、第二类压力容器；</w:t>
            </w:r>
          </w:p>
          <w:p w14:paraId="63A4AE9C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（6）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按照《高校实验室安全风险评价表》评分在[75, 100)范围的实验室</w:t>
            </w:r>
          </w:p>
        </w:tc>
      </w:tr>
      <w:tr w14:paraId="2AAEA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</w:trPr>
        <w:tc>
          <w:tcPr>
            <w:tcW w:w="1805" w:type="dxa"/>
          </w:tcPr>
          <w:p w14:paraId="75E008C9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Ⅲ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级实验室（中风险实验室）</w:t>
            </w:r>
          </w:p>
        </w:tc>
        <w:tc>
          <w:tcPr>
            <w:tcW w:w="6717" w:type="dxa"/>
          </w:tcPr>
          <w:p w14:paraId="2CD7E5F0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实验室有以下情况之一的：</w:t>
            </w:r>
          </w:p>
          <w:p w14:paraId="7CEA8758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（1） 存储第二/三类易制毒品；</w:t>
            </w:r>
          </w:p>
          <w:p w14:paraId="4B905E13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（2） 生物安全 BSL- 1 、ABSL- 1 实验室；</w:t>
            </w:r>
          </w:p>
          <w:p w14:paraId="5555801D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（3） 基础设备老化；</w:t>
            </w:r>
          </w:p>
          <w:p w14:paraId="645D5E9A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（4）按照《高校实验室安全风险评价表》评分在[25, 75)范围的实验室</w:t>
            </w:r>
          </w:p>
        </w:tc>
      </w:tr>
      <w:tr w14:paraId="2116F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</w:trPr>
        <w:tc>
          <w:tcPr>
            <w:tcW w:w="1805" w:type="dxa"/>
          </w:tcPr>
          <w:p w14:paraId="5BC7675F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Ⅳ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级实验室（低风险实验室）</w:t>
            </w:r>
          </w:p>
        </w:tc>
        <w:tc>
          <w:tcPr>
            <w:tcW w:w="6717" w:type="dxa"/>
          </w:tcPr>
          <w:p w14:paraId="42B96603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实验室有以下情况之一的：</w:t>
            </w:r>
          </w:p>
          <w:p w14:paraId="647B3FEA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（1） 不涉及重要危险源的实验室；</w:t>
            </w:r>
          </w:p>
          <w:p w14:paraId="7E31FF99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（2） 主要涉及一般性消防安全、用电安全的实验室；</w:t>
            </w:r>
          </w:p>
          <w:p w14:paraId="7C9F61F5">
            <w:pP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（3） 按照《高校实验室安全风险评价表》评分在[0, 25)范围的实验室</w:t>
            </w:r>
          </w:p>
        </w:tc>
      </w:tr>
    </w:tbl>
    <w:p w14:paraId="647DD860">
      <w:pPr>
        <w:rPr>
          <w:rFonts w:hint="default"/>
          <w:lang w:val="en-US" w:eastAsia="zh-CN"/>
        </w:rPr>
      </w:pPr>
    </w:p>
    <w:p w14:paraId="6B805B5C">
      <w:pPr>
        <w:spacing w:before="140" w:line="601" w:lineRule="exact"/>
        <w:rPr>
          <w:rFonts w:hint="eastAsia" w:ascii="黑体" w:hAnsi="黑体" w:eastAsia="黑体" w:cs="黑体"/>
          <w:snapToGrid w:val="0"/>
          <w:color w:val="000000"/>
          <w:spacing w:val="-6"/>
          <w:kern w:val="0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-6"/>
          <w:kern w:val="0"/>
          <w:sz w:val="31"/>
          <w:szCs w:val="31"/>
          <w:lang w:val="en-US" w:eastAsia="zh-CN"/>
        </w:rPr>
        <w:t>附件2</w:t>
      </w:r>
    </w:p>
    <w:p w14:paraId="3FE6F15F">
      <w:pPr>
        <w:keepNext w:val="0"/>
        <w:keepLines w:val="0"/>
        <w:widowControl/>
        <w:suppressLineNumbers w:val="0"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高校实验室安全风险评价表</w:t>
      </w:r>
    </w:p>
    <w:tbl>
      <w:tblPr>
        <w:tblStyle w:val="7"/>
        <w:tblW w:w="89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7478"/>
      </w:tblGrid>
      <w:tr w14:paraId="47C08E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485" w:type="dxa"/>
            <w:vAlign w:val="top"/>
          </w:tcPr>
          <w:p w14:paraId="7E03BEC5">
            <w:pPr>
              <w:spacing w:before="97" w:line="218" w:lineRule="auto"/>
              <w:ind w:left="26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每项计分</w:t>
            </w:r>
          </w:p>
        </w:tc>
        <w:tc>
          <w:tcPr>
            <w:tcW w:w="7478" w:type="dxa"/>
            <w:vAlign w:val="top"/>
          </w:tcPr>
          <w:p w14:paraId="1AE16402">
            <w:pPr>
              <w:spacing w:before="97" w:line="217" w:lineRule="auto"/>
              <w:ind w:left="338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风险源</w:t>
            </w:r>
          </w:p>
        </w:tc>
      </w:tr>
      <w:tr w14:paraId="5C0ED8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8" w:hRule="atLeast"/>
        </w:trPr>
        <w:tc>
          <w:tcPr>
            <w:tcW w:w="1485" w:type="dxa"/>
            <w:vAlign w:val="top"/>
          </w:tcPr>
          <w:p w14:paraId="1D1C06F6">
            <w:pPr>
              <w:pStyle w:val="6"/>
              <w:spacing w:before="94" w:line="219" w:lineRule="auto"/>
              <w:ind w:left="47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25</w:t>
            </w: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分</w:t>
            </w:r>
          </w:p>
        </w:tc>
        <w:tc>
          <w:tcPr>
            <w:tcW w:w="7478" w:type="dxa"/>
            <w:vAlign w:val="top"/>
          </w:tcPr>
          <w:p w14:paraId="5FD3FC69">
            <w:pPr>
              <w:pStyle w:val="6"/>
              <w:spacing w:before="94" w:line="422" w:lineRule="exact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position w:val="14"/>
                <w:sz w:val="24"/>
                <w:szCs w:val="24"/>
              </w:rPr>
              <w:t>（1）存储易燃易爆化学品总量在</w:t>
            </w:r>
            <w:r>
              <w:rPr>
                <w:rFonts w:hint="eastAsia" w:ascii="仿宋" w:hAnsi="仿宋" w:eastAsia="仿宋" w:cs="仿宋"/>
                <w:spacing w:val="-49"/>
                <w:position w:val="1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position w:val="14"/>
                <w:sz w:val="24"/>
                <w:szCs w:val="24"/>
              </w:rPr>
              <w:t>5~20kg或</w:t>
            </w:r>
            <w:r>
              <w:rPr>
                <w:rFonts w:hint="eastAsia" w:ascii="仿宋" w:hAnsi="仿宋" w:eastAsia="仿宋" w:cs="仿宋"/>
                <w:spacing w:val="-49"/>
                <w:position w:val="1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position w:val="14"/>
                <w:sz w:val="24"/>
                <w:szCs w:val="24"/>
              </w:rPr>
              <w:t>5~20L；</w:t>
            </w:r>
          </w:p>
          <w:p w14:paraId="65CF68A0">
            <w:pPr>
              <w:pStyle w:val="6"/>
              <w:spacing w:line="209" w:lineRule="auto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（2）存储一般危化品总量</w:t>
            </w:r>
            <w:r>
              <w:rPr>
                <w:rFonts w:hint="eastAsia" w:ascii="仿宋" w:hAnsi="仿宋" w:eastAsia="仿宋" w:cs="仿宋"/>
                <w:spacing w:val="-4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50~</w:t>
            </w:r>
            <w:r>
              <w:rPr>
                <w:rFonts w:hint="eastAsia" w:ascii="仿宋" w:hAnsi="仿宋" w:eastAsia="仿宋" w:cs="仿宋"/>
                <w:spacing w:val="-3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100kg或</w:t>
            </w:r>
            <w:r>
              <w:rPr>
                <w:rFonts w:hint="eastAsia"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50~</w:t>
            </w: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100L；</w:t>
            </w:r>
          </w:p>
          <w:p w14:paraId="7C7249A4">
            <w:pPr>
              <w:pStyle w:val="6"/>
              <w:spacing w:before="150" w:line="214" w:lineRule="auto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（3）存储有毒、易燃气体总量为</w:t>
            </w:r>
            <w:r>
              <w:rPr>
                <w:rFonts w:hint="eastAsia"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2瓶；</w:t>
            </w:r>
          </w:p>
          <w:p w14:paraId="4524A030">
            <w:pPr>
              <w:pStyle w:val="6"/>
              <w:spacing w:before="143" w:line="425" w:lineRule="exact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position w:val="14"/>
                <w:sz w:val="24"/>
                <w:szCs w:val="24"/>
              </w:rPr>
              <w:t>（4）使用</w:t>
            </w:r>
            <w:r>
              <w:rPr>
                <w:rFonts w:hint="eastAsia" w:ascii="仿宋" w:hAnsi="仿宋" w:eastAsia="仿宋" w:cs="仿宋"/>
                <w:spacing w:val="-49"/>
                <w:position w:val="1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position w:val="14"/>
                <w:sz w:val="24"/>
                <w:szCs w:val="24"/>
              </w:rPr>
              <w:t>III类射线设备的数量≥2台；</w:t>
            </w:r>
          </w:p>
          <w:p w14:paraId="36ADC3B4">
            <w:pPr>
              <w:pStyle w:val="6"/>
              <w:spacing w:before="1" w:line="215" w:lineRule="auto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（5）使用简单压力容器的数量≥3台；</w:t>
            </w:r>
          </w:p>
          <w:p w14:paraId="0AE4C1F4">
            <w:pPr>
              <w:pStyle w:val="6"/>
              <w:spacing w:before="142" w:line="423" w:lineRule="exact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position w:val="13"/>
                <w:sz w:val="24"/>
                <w:szCs w:val="24"/>
              </w:rPr>
              <w:t>（6）实验室使用危险机加工装置的数量≥3台；</w:t>
            </w:r>
          </w:p>
          <w:p w14:paraId="27286296">
            <w:pPr>
              <w:pStyle w:val="6"/>
              <w:spacing w:line="215" w:lineRule="auto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（7）实验室使用加热设备数量≥6台；</w:t>
            </w:r>
          </w:p>
          <w:p w14:paraId="63985558">
            <w:pPr>
              <w:pStyle w:val="6"/>
              <w:spacing w:before="142" w:line="425" w:lineRule="exact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position w:val="14"/>
                <w:sz w:val="24"/>
                <w:szCs w:val="24"/>
              </w:rPr>
              <w:t>（8）实验室每月危险废物产生量≥100 L或kg；</w:t>
            </w:r>
          </w:p>
        </w:tc>
      </w:tr>
      <w:tr w14:paraId="45E0FA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2" w:hRule="atLeast"/>
        </w:trPr>
        <w:tc>
          <w:tcPr>
            <w:tcW w:w="1485" w:type="dxa"/>
            <w:vAlign w:val="top"/>
          </w:tcPr>
          <w:p w14:paraId="2B9DBF1B">
            <w:pPr>
              <w:pStyle w:val="6"/>
              <w:spacing w:before="95" w:line="219" w:lineRule="auto"/>
              <w:ind w:left="497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 w:cs="仿宋"/>
                <w:spacing w:val="1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分</w:t>
            </w:r>
          </w:p>
        </w:tc>
        <w:tc>
          <w:tcPr>
            <w:tcW w:w="7478" w:type="dxa"/>
            <w:vAlign w:val="top"/>
          </w:tcPr>
          <w:p w14:paraId="60EFD0B0">
            <w:pPr>
              <w:pStyle w:val="6"/>
              <w:numPr>
                <w:ilvl w:val="0"/>
                <w:numId w:val="1"/>
              </w:numPr>
              <w:spacing w:before="95" w:line="217" w:lineRule="auto"/>
              <w:ind w:left="108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使用超过人体安全电压（36V）的实验；</w:t>
            </w:r>
          </w:p>
          <w:p w14:paraId="575E2B3B">
            <w:pPr>
              <w:pStyle w:val="6"/>
              <w:numPr>
                <w:ilvl w:val="0"/>
                <w:numId w:val="1"/>
              </w:numPr>
              <w:spacing w:before="95" w:line="217" w:lineRule="auto"/>
              <w:ind w:left="108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val="en-US" w:eastAsia="zh-CN"/>
              </w:rPr>
              <w:t>涉及合成放热实验</w:t>
            </w:r>
          </w:p>
          <w:p w14:paraId="6A1C4B94">
            <w:pPr>
              <w:pStyle w:val="6"/>
              <w:numPr>
                <w:ilvl w:val="0"/>
                <w:numId w:val="1"/>
              </w:numPr>
              <w:spacing w:before="95" w:line="217" w:lineRule="auto"/>
              <w:ind w:left="108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val="en-US" w:eastAsia="zh-CN"/>
              </w:rPr>
              <w:t>涉及压力实验</w:t>
            </w:r>
          </w:p>
          <w:p w14:paraId="36AD1782">
            <w:pPr>
              <w:pStyle w:val="6"/>
              <w:numPr>
                <w:ilvl w:val="0"/>
                <w:numId w:val="1"/>
              </w:numPr>
              <w:spacing w:before="95" w:line="217" w:lineRule="auto"/>
              <w:ind w:left="108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val="en-US" w:eastAsia="zh-CN"/>
              </w:rPr>
              <w:t>产生易燃气体的实验</w:t>
            </w:r>
          </w:p>
          <w:p w14:paraId="1F88928E">
            <w:pPr>
              <w:pStyle w:val="6"/>
              <w:numPr>
                <w:ilvl w:val="0"/>
                <w:numId w:val="1"/>
              </w:numPr>
              <w:spacing w:before="95" w:line="217" w:lineRule="auto"/>
              <w:ind w:left="108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val="en-US" w:eastAsia="zh-CN"/>
              </w:rPr>
              <w:t>涉及持续加热实验</w:t>
            </w:r>
          </w:p>
          <w:p w14:paraId="0E07A0EA">
            <w:pPr>
              <w:pStyle w:val="6"/>
              <w:numPr>
                <w:ilvl w:val="0"/>
                <w:numId w:val="1"/>
              </w:numPr>
              <w:spacing w:before="95" w:line="217" w:lineRule="auto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val="en-US" w:eastAsia="zh-CN"/>
              </w:rPr>
              <w:t>使用一般实验室自制设备</w:t>
            </w:r>
          </w:p>
          <w:p w14:paraId="7EEAB590">
            <w:pPr>
              <w:pStyle w:val="6"/>
              <w:spacing w:before="185" w:line="210" w:lineRule="auto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（7） 存储易燃易爆化学品＜5kg或</w:t>
            </w:r>
            <w:r>
              <w:rPr>
                <w:rFonts w:hint="eastAsia" w:ascii="仿宋" w:hAnsi="仿宋" w:eastAsia="仿宋" w:cs="仿宋"/>
                <w:spacing w:val="-45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5L；</w:t>
            </w:r>
          </w:p>
          <w:p w14:paraId="462623C0">
            <w:pPr>
              <w:pStyle w:val="6"/>
              <w:spacing w:before="150" w:line="422" w:lineRule="exact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position w:val="14"/>
                <w:sz w:val="24"/>
                <w:szCs w:val="24"/>
              </w:rPr>
              <w:t>（8） 实验室存储一般危化品总量＜50kg或</w:t>
            </w:r>
            <w:r>
              <w:rPr>
                <w:rFonts w:hint="eastAsia" w:ascii="仿宋" w:hAnsi="仿宋" w:eastAsia="仿宋" w:cs="仿宋"/>
                <w:spacing w:val="-40"/>
                <w:position w:val="1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position w:val="14"/>
                <w:sz w:val="24"/>
                <w:szCs w:val="24"/>
              </w:rPr>
              <w:t>50L；</w:t>
            </w:r>
          </w:p>
          <w:p w14:paraId="18B57495">
            <w:pPr>
              <w:pStyle w:val="6"/>
              <w:spacing w:line="214" w:lineRule="auto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（9） 存储有毒、易燃气体</w:t>
            </w: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1瓶；</w:t>
            </w:r>
          </w:p>
          <w:p w14:paraId="4B049930">
            <w:pPr>
              <w:pStyle w:val="6"/>
              <w:spacing w:before="143" w:line="42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position w:val="14"/>
                <w:sz w:val="24"/>
                <w:szCs w:val="24"/>
              </w:rPr>
              <w:t>（10）存储或使用有活性的病原微生物，对人或其他动物感染性较弱，</w:t>
            </w:r>
          </w:p>
          <w:p w14:paraId="1759BD0F">
            <w:pPr>
              <w:pStyle w:val="6"/>
              <w:spacing w:line="217" w:lineRule="auto"/>
              <w:ind w:left="83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或感染后易治愈；</w:t>
            </w:r>
          </w:p>
          <w:p w14:paraId="07E74740">
            <w:pPr>
              <w:pStyle w:val="6"/>
              <w:spacing w:before="140" w:line="216" w:lineRule="auto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（11）使用简单压力容器</w:t>
            </w:r>
            <w:r>
              <w:rPr>
                <w:rFonts w:hint="eastAsia" w:ascii="仿宋" w:hAnsi="仿宋" w:eastAsia="仿宋" w:cs="仿宋"/>
                <w:spacing w:val="-19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1~2台；</w:t>
            </w:r>
          </w:p>
          <w:p w14:paraId="5D4E082F">
            <w:pPr>
              <w:pStyle w:val="6"/>
              <w:spacing w:before="142" w:line="216" w:lineRule="auto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（12）使用</w:t>
            </w:r>
            <w:r>
              <w:rPr>
                <w:rFonts w:hint="eastAsia"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III</w:t>
            </w:r>
            <w:r>
              <w:rPr>
                <w:rFonts w:hint="eastAsia" w:ascii="仿宋" w:hAnsi="仿宋" w:eastAsia="仿宋" w:cs="仿宋"/>
                <w:spacing w:val="25"/>
                <w:w w:val="10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类射线设备</w:t>
            </w: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1台；</w:t>
            </w:r>
          </w:p>
          <w:p w14:paraId="086E9C76">
            <w:pPr>
              <w:pStyle w:val="6"/>
              <w:spacing w:before="141" w:line="216" w:lineRule="auto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（13）使用危险机加工装置</w:t>
            </w: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1~2台；</w:t>
            </w:r>
          </w:p>
          <w:p w14:paraId="23EF20F4">
            <w:pPr>
              <w:pStyle w:val="6"/>
              <w:spacing w:before="144" w:line="216" w:lineRule="auto"/>
              <w:ind w:left="108"/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（14）使用一般机加工装置的数量≥5台；</w:t>
            </w:r>
          </w:p>
          <w:p w14:paraId="3724BE11">
            <w:pPr>
              <w:pStyle w:val="6"/>
              <w:spacing w:before="144" w:line="216" w:lineRule="auto"/>
              <w:ind w:left="108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cs="仿宋"/>
                <w:spacing w:val="-3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仿宋"/>
                <w:spacing w:val="-3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cs="仿宋"/>
                <w:spacing w:val="-3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实验室一般用电设备负载≥80%设计负载；</w:t>
            </w:r>
          </w:p>
          <w:p w14:paraId="12C22B74">
            <w:pPr>
              <w:pStyle w:val="6"/>
              <w:spacing w:before="144" w:line="216" w:lineRule="auto"/>
              <w:ind w:left="108"/>
              <w:rPr>
                <w:rFonts w:hint="eastAsia" w:cs="仿宋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spacing w:val="-1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仿宋"/>
                <w:spacing w:val="-1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cs="仿宋"/>
                <w:spacing w:val="-1"/>
                <w:sz w:val="24"/>
                <w:szCs w:val="24"/>
                <w:lang w:eastAsia="zh-CN"/>
              </w:rPr>
              <w:t>）</w:t>
            </w:r>
            <w:r>
              <w:rPr>
                <w:rFonts w:hint="eastAsia" w:cs="仿宋"/>
                <w:spacing w:val="-1"/>
                <w:sz w:val="24"/>
                <w:szCs w:val="24"/>
                <w:lang w:val="en-US" w:eastAsia="zh-CN"/>
              </w:rPr>
              <w:t>使用2、2M、1、1M类激光设备的数量≥3台；</w:t>
            </w:r>
          </w:p>
          <w:p w14:paraId="4BC5B215">
            <w:pPr>
              <w:pStyle w:val="6"/>
              <w:spacing w:before="144" w:line="216" w:lineRule="auto"/>
              <w:ind w:left="108"/>
              <w:rPr>
                <w:rFonts w:hint="eastAsia" w:cs="仿宋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spacing w:val="-1"/>
                <w:sz w:val="24"/>
                <w:szCs w:val="24"/>
                <w:lang w:val="en-US" w:eastAsia="zh-CN"/>
              </w:rPr>
              <w:t>（17）实验室每月危险废物产生量为20</w:t>
            </w:r>
            <w:r>
              <w:rPr>
                <w:rFonts w:hint="eastAsia" w:cs="仿宋"/>
                <w:spacing w:val="-3"/>
                <w:sz w:val="24"/>
                <w:szCs w:val="24"/>
                <w:lang w:val="en-US" w:eastAsia="zh-CN"/>
              </w:rPr>
              <w:t>~</w:t>
            </w:r>
            <w:r>
              <w:rPr>
                <w:rFonts w:hint="eastAsia" w:cs="仿宋"/>
                <w:spacing w:val="-1"/>
                <w:sz w:val="24"/>
                <w:szCs w:val="24"/>
                <w:lang w:val="en-US" w:eastAsia="zh-CN"/>
              </w:rPr>
              <w:t>100L或kg</w:t>
            </w:r>
          </w:p>
          <w:p w14:paraId="222087F0">
            <w:pPr>
              <w:pStyle w:val="6"/>
              <w:spacing w:before="144" w:line="216" w:lineRule="auto"/>
              <w:ind w:left="108"/>
              <w:rPr>
                <w:rFonts w:hint="eastAsia" w:cs="仿宋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spacing w:val="-1"/>
                <w:sz w:val="24"/>
                <w:szCs w:val="24"/>
                <w:lang w:val="en-US" w:eastAsia="zh-CN"/>
              </w:rPr>
              <w:t>（18）实验室使用加热设备数量3</w:t>
            </w:r>
            <w:r>
              <w:rPr>
                <w:rFonts w:hint="eastAsia" w:cs="仿宋"/>
                <w:spacing w:val="-3"/>
                <w:sz w:val="24"/>
                <w:szCs w:val="24"/>
                <w:lang w:val="en-US" w:eastAsia="zh-CN"/>
              </w:rPr>
              <w:t>~</w:t>
            </w:r>
            <w:r>
              <w:rPr>
                <w:rFonts w:hint="eastAsia" w:cs="仿宋"/>
                <w:spacing w:val="-1"/>
                <w:sz w:val="24"/>
                <w:szCs w:val="24"/>
                <w:lang w:val="en-US" w:eastAsia="zh-CN"/>
              </w:rPr>
              <w:t>5台；</w:t>
            </w:r>
          </w:p>
          <w:p w14:paraId="0557D8B0">
            <w:pPr>
              <w:pStyle w:val="6"/>
              <w:spacing w:before="144" w:line="216" w:lineRule="auto"/>
              <w:ind w:left="108"/>
              <w:rPr>
                <w:rFonts w:hint="default" w:cs="仿宋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spacing w:val="-1"/>
                <w:sz w:val="24"/>
                <w:szCs w:val="24"/>
                <w:lang w:val="en-US" w:eastAsia="zh-CN"/>
              </w:rPr>
              <w:t>（19）实验室使用每1台明火设备；</w:t>
            </w:r>
          </w:p>
        </w:tc>
      </w:tr>
    </w:tbl>
    <w:p w14:paraId="680069AB">
      <w:pPr>
        <w:rPr>
          <w:rFonts w:hint="eastAsia" w:ascii="仿宋" w:hAnsi="仿宋" w:eastAsia="仿宋" w:cs="仿宋"/>
          <w:sz w:val="24"/>
          <w:szCs w:val="24"/>
        </w:rPr>
        <w:sectPr>
          <w:footerReference r:id="rId3" w:type="default"/>
          <w:pgSz w:w="11900" w:h="16840"/>
          <w:pgMar w:top="1431" w:right="1462" w:bottom="1736" w:left="1469" w:header="0" w:footer="1462" w:gutter="0"/>
          <w:cols w:space="720" w:num="1"/>
        </w:sectPr>
      </w:pPr>
    </w:p>
    <w:p w14:paraId="30D36B8F">
      <w:pPr>
        <w:spacing w:before="91"/>
        <w:rPr>
          <w:rFonts w:hint="eastAsia" w:ascii="仿宋" w:hAnsi="仿宋" w:eastAsia="仿宋" w:cs="仿宋"/>
          <w:sz w:val="24"/>
          <w:szCs w:val="24"/>
        </w:rPr>
      </w:pPr>
    </w:p>
    <w:tbl>
      <w:tblPr>
        <w:tblStyle w:val="7"/>
        <w:tblW w:w="89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7478"/>
      </w:tblGrid>
      <w:tr w14:paraId="0F0EF9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485" w:type="dxa"/>
            <w:vAlign w:val="top"/>
          </w:tcPr>
          <w:p w14:paraId="47AC6390">
            <w:pPr>
              <w:spacing w:before="97" w:line="218" w:lineRule="auto"/>
              <w:ind w:left="26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每项计分</w:t>
            </w:r>
          </w:p>
        </w:tc>
        <w:tc>
          <w:tcPr>
            <w:tcW w:w="7478" w:type="dxa"/>
            <w:vAlign w:val="top"/>
          </w:tcPr>
          <w:p w14:paraId="1247E11E">
            <w:pPr>
              <w:spacing w:before="97" w:line="217" w:lineRule="auto"/>
              <w:ind w:left="338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风险源</w:t>
            </w:r>
          </w:p>
        </w:tc>
      </w:tr>
      <w:tr w14:paraId="36EF20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0" w:hRule="atLeast"/>
        </w:trPr>
        <w:tc>
          <w:tcPr>
            <w:tcW w:w="1485" w:type="dxa"/>
            <w:vAlign w:val="top"/>
          </w:tcPr>
          <w:p w14:paraId="0A658433">
            <w:pPr>
              <w:pStyle w:val="6"/>
              <w:spacing w:before="94" w:line="219" w:lineRule="auto"/>
              <w:ind w:left="54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分</w:t>
            </w:r>
          </w:p>
        </w:tc>
        <w:tc>
          <w:tcPr>
            <w:tcW w:w="7478" w:type="dxa"/>
            <w:vAlign w:val="top"/>
          </w:tcPr>
          <w:p w14:paraId="11FD6FC9">
            <w:pPr>
              <w:pStyle w:val="6"/>
              <w:spacing w:before="95" w:line="214" w:lineRule="auto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（1） 存储普通气体1</w:t>
            </w:r>
            <w:r>
              <w:rPr>
                <w:rFonts w:hint="eastAsia" w:cs="仿宋"/>
                <w:spacing w:val="-3"/>
                <w:sz w:val="24"/>
                <w:szCs w:val="24"/>
                <w:lang w:val="en-US" w:eastAsia="zh-CN"/>
              </w:rPr>
              <w:t>~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4瓶；</w:t>
            </w:r>
          </w:p>
          <w:p w14:paraId="5B31D719">
            <w:pPr>
              <w:pStyle w:val="6"/>
              <w:spacing w:before="143" w:line="216" w:lineRule="auto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（2） 使用一般机加工装置</w:t>
            </w:r>
            <w:r>
              <w:rPr>
                <w:rFonts w:hint="default" w:ascii="Times New Roman" w:hAnsi="Times New Roman" w:eastAsia="仿宋" w:cs="Times New Roman"/>
                <w:spacing w:val="-3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1</w:t>
            </w:r>
            <w:r>
              <w:rPr>
                <w:rFonts w:hint="eastAsia" w:cs="仿宋"/>
                <w:spacing w:val="-3"/>
                <w:sz w:val="24"/>
                <w:szCs w:val="24"/>
                <w:lang w:val="en-US" w:eastAsia="zh-CN"/>
              </w:rPr>
              <w:t>~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eastAsia="仿宋" w:cs="Times New Roman"/>
                <w:spacing w:val="-4"/>
                <w:sz w:val="24"/>
                <w:szCs w:val="24"/>
              </w:rPr>
              <w:t>台；</w:t>
            </w:r>
          </w:p>
          <w:p w14:paraId="5C41CF96">
            <w:pPr>
              <w:pStyle w:val="6"/>
              <w:spacing w:before="144" w:line="422" w:lineRule="exact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position w:val="13"/>
                <w:sz w:val="24"/>
                <w:szCs w:val="24"/>
              </w:rPr>
              <w:t>（3） 使用</w:t>
            </w:r>
            <w:r>
              <w:rPr>
                <w:rFonts w:hint="eastAsia" w:ascii="仿宋" w:hAnsi="仿宋" w:eastAsia="仿宋" w:cs="仿宋"/>
                <w:spacing w:val="-41"/>
                <w:position w:val="1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  <w:position w:val="13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spacing w:val="-31"/>
                <w:position w:val="1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  <w:position w:val="13"/>
                <w:sz w:val="24"/>
                <w:szCs w:val="24"/>
              </w:rPr>
              <w:t>、2M</w:t>
            </w:r>
            <w:r>
              <w:rPr>
                <w:rFonts w:hint="eastAsia" w:ascii="仿宋" w:hAnsi="仿宋" w:eastAsia="仿宋" w:cs="仿宋"/>
                <w:spacing w:val="-31"/>
                <w:position w:val="1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  <w:position w:val="13"/>
                <w:sz w:val="24"/>
                <w:szCs w:val="24"/>
              </w:rPr>
              <w:t>、1</w:t>
            </w:r>
            <w:r>
              <w:rPr>
                <w:rFonts w:hint="eastAsia" w:ascii="仿宋" w:hAnsi="仿宋" w:eastAsia="仿宋" w:cs="仿宋"/>
                <w:spacing w:val="-31"/>
                <w:position w:val="1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  <w:position w:val="13"/>
                <w:sz w:val="24"/>
                <w:szCs w:val="24"/>
              </w:rPr>
              <w:t>、1M类激光设备</w:t>
            </w:r>
            <w:r>
              <w:rPr>
                <w:rFonts w:hint="eastAsia" w:ascii="仿宋" w:hAnsi="仿宋" w:eastAsia="仿宋" w:cs="仿宋"/>
                <w:spacing w:val="-32"/>
                <w:position w:val="1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  <w:position w:val="13"/>
                <w:sz w:val="24"/>
                <w:szCs w:val="24"/>
              </w:rPr>
              <w:t>1~2台；</w:t>
            </w:r>
          </w:p>
          <w:p w14:paraId="6275A592">
            <w:pPr>
              <w:pStyle w:val="6"/>
              <w:spacing w:line="209" w:lineRule="auto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（4） 实验室每月危险废物产生量＜20 L或</w:t>
            </w:r>
            <w:r>
              <w:rPr>
                <w:rFonts w:hint="eastAsia" w:ascii="仿宋" w:hAnsi="仿宋" w:eastAsia="仿宋" w:cs="仿宋"/>
                <w:spacing w:val="-4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kg；</w:t>
            </w:r>
          </w:p>
          <w:p w14:paraId="764886A5">
            <w:pPr>
              <w:pStyle w:val="6"/>
              <w:spacing w:before="150" w:line="216" w:lineRule="auto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（5） 实验室使用加热设备数量</w:t>
            </w:r>
            <w:r>
              <w:rPr>
                <w:rFonts w:hint="eastAsia" w:ascii="仿宋" w:hAnsi="仿宋" w:eastAsia="仿宋" w:cs="仿宋"/>
                <w:spacing w:val="-2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1~2台；</w:t>
            </w:r>
          </w:p>
          <w:p w14:paraId="7AC716C9">
            <w:pPr>
              <w:pStyle w:val="6"/>
              <w:spacing w:before="142" w:line="214" w:lineRule="auto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（6） 存放危险化学品的防爆冰箱或经防爆改造冰箱数量每1台；</w:t>
            </w:r>
          </w:p>
          <w:p w14:paraId="7A8B22B0">
            <w:pPr>
              <w:pStyle w:val="6"/>
              <w:spacing w:before="146" w:line="216" w:lineRule="auto"/>
              <w:ind w:left="10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（7） 实验室使用每</w:t>
            </w: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1台快捷电热设备；</w:t>
            </w:r>
          </w:p>
        </w:tc>
      </w:tr>
    </w:tbl>
    <w:p w14:paraId="0537B24A">
      <w:pPr>
        <w:spacing w:before="93" w:line="225" w:lineRule="auto"/>
        <w:ind w:left="132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pacing w:val="-8"/>
          <w:sz w:val="24"/>
          <w:szCs w:val="24"/>
        </w:rPr>
        <w:t>注：</w:t>
      </w:r>
    </w:p>
    <w:p w14:paraId="12C33216">
      <w:pPr>
        <w:spacing w:before="129" w:line="216" w:lineRule="auto"/>
        <w:ind w:left="62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1"/>
          <w:sz w:val="24"/>
          <w:szCs w:val="24"/>
        </w:rPr>
        <w:t>1.表中所称实验室房间均以面积为</w:t>
      </w:r>
      <w:r>
        <w:rPr>
          <w:rFonts w:hint="eastAsia" w:ascii="仿宋" w:hAnsi="仿宋" w:eastAsia="仿宋" w:cs="仿宋"/>
          <w:spacing w:val="-48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-1"/>
          <w:sz w:val="24"/>
          <w:szCs w:val="24"/>
        </w:rPr>
        <w:t>50m</w:t>
      </w:r>
      <w:r>
        <w:rPr>
          <w:rFonts w:hint="eastAsia" w:ascii="仿宋" w:hAnsi="仿宋" w:eastAsia="仿宋" w:cs="仿宋"/>
          <w:spacing w:val="-1"/>
          <w:position w:val="8"/>
          <w:sz w:val="24"/>
          <w:szCs w:val="24"/>
        </w:rPr>
        <w:t>2</w:t>
      </w:r>
      <w:r>
        <w:rPr>
          <w:rFonts w:hint="eastAsia" w:ascii="仿宋" w:hAnsi="仿宋" w:eastAsia="仿宋" w:cs="仿宋"/>
          <w:spacing w:val="15"/>
          <w:position w:val="8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-1"/>
          <w:sz w:val="24"/>
          <w:szCs w:val="24"/>
        </w:rPr>
        <w:t>计</w:t>
      </w:r>
      <w:r>
        <w:rPr>
          <w:rFonts w:hint="eastAsia" w:ascii="仿宋" w:hAnsi="仿宋" w:eastAsia="仿宋" w:cs="仿宋"/>
          <w:spacing w:val="-2"/>
          <w:sz w:val="24"/>
          <w:szCs w:val="24"/>
        </w:rPr>
        <w:t>，其他面积可按比例调整评价内容；</w:t>
      </w:r>
    </w:p>
    <w:p w14:paraId="711B8CFC">
      <w:pPr>
        <w:spacing w:before="141" w:line="423" w:lineRule="exact"/>
        <w:ind w:left="6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1"/>
          <w:position w:val="13"/>
          <w:sz w:val="24"/>
          <w:szCs w:val="24"/>
        </w:rPr>
        <w:t>2.表中符合任1种情况计相应分数，符合多种情况，分数累加计算，最</w:t>
      </w:r>
      <w:r>
        <w:rPr>
          <w:rFonts w:hint="eastAsia" w:ascii="仿宋" w:hAnsi="仿宋" w:eastAsia="仿宋" w:cs="仿宋"/>
          <w:position w:val="13"/>
          <w:sz w:val="24"/>
          <w:szCs w:val="24"/>
        </w:rPr>
        <w:t>高100</w:t>
      </w:r>
    </w:p>
    <w:p w14:paraId="3FDE04DB">
      <w:pPr>
        <w:spacing w:line="217" w:lineRule="auto"/>
        <w:ind w:left="1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6"/>
          <w:sz w:val="24"/>
          <w:szCs w:val="24"/>
        </w:rPr>
        <w:t>分；</w:t>
      </w:r>
    </w:p>
    <w:p w14:paraId="436FD242">
      <w:pPr>
        <w:spacing w:before="142" w:line="325" w:lineRule="auto"/>
        <w:ind w:left="126" w:right="211"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1"/>
          <w:sz w:val="24"/>
          <w:szCs w:val="24"/>
        </w:rPr>
        <w:t>3.</w:t>
      </w:r>
      <w:r>
        <w:rPr>
          <w:rFonts w:hint="eastAsia" w:ascii="仿宋" w:hAnsi="仿宋" w:eastAsia="仿宋" w:cs="仿宋"/>
          <w:spacing w:val="-36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1"/>
          <w:sz w:val="24"/>
          <w:szCs w:val="24"/>
        </w:rPr>
        <w:t>实验室自制设备，是指由使用人自行或者委托其他</w:t>
      </w:r>
      <w:r>
        <w:rPr>
          <w:rFonts w:hint="eastAsia" w:ascii="仿宋" w:hAnsi="仿宋" w:eastAsia="仿宋" w:cs="仿宋"/>
          <w:sz w:val="24"/>
          <w:szCs w:val="24"/>
        </w:rPr>
        <w:t>单位进行设计、制造、安 装的，并以其为载体进行实验活动的非标设备；对标准设</w:t>
      </w:r>
      <w:r>
        <w:rPr>
          <w:rFonts w:hint="eastAsia" w:ascii="仿宋" w:hAnsi="仿宋" w:eastAsia="仿宋" w:cs="仿宋"/>
          <w:spacing w:val="-1"/>
          <w:sz w:val="24"/>
          <w:szCs w:val="24"/>
        </w:rPr>
        <w:t>备进行改造也参照自制设</w:t>
      </w:r>
    </w:p>
    <w:p w14:paraId="65AE96DA">
      <w:pPr>
        <w:spacing w:before="1" w:line="215" w:lineRule="auto"/>
        <w:ind w:left="129"/>
        <w:rPr>
          <w:rFonts w:ascii="仿宋" w:hAnsi="仿宋" w:eastAsia="仿宋" w:cs="仿宋"/>
          <w:sz w:val="24"/>
          <w:szCs w:val="24"/>
        </w:rPr>
        <w:sectPr>
          <w:footerReference r:id="rId4" w:type="default"/>
          <w:pgSz w:w="11900" w:h="16840"/>
          <w:pgMar w:top="1431" w:right="1462" w:bottom="1736" w:left="1469" w:header="0" w:footer="1462" w:gutter="0"/>
          <w:cols w:space="720" w:num="1"/>
        </w:sectPr>
      </w:pPr>
      <w:r>
        <w:rPr>
          <w:rFonts w:hint="eastAsia" w:ascii="仿宋" w:hAnsi="仿宋" w:eastAsia="仿宋" w:cs="仿宋"/>
          <w:spacing w:val="-3"/>
          <w:sz w:val="24"/>
          <w:szCs w:val="24"/>
        </w:rPr>
        <w:t>备进行管理。</w:t>
      </w:r>
    </w:p>
    <w:p w14:paraId="6AFDEFC6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-6"/>
          <w:kern w:val="0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-6"/>
          <w:kern w:val="0"/>
          <w:sz w:val="31"/>
          <w:szCs w:val="31"/>
          <w:lang w:val="en-US" w:eastAsia="zh-CN"/>
        </w:rPr>
        <w:t>附件3</w:t>
      </w:r>
    </w:p>
    <w:p w14:paraId="3F64C5E7">
      <w:pPr>
        <w:keepNext w:val="0"/>
        <w:keepLines w:val="0"/>
        <w:widowControl/>
        <w:suppressLineNumbers w:val="0"/>
        <w:jc w:val="center"/>
        <w:rPr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高校实验室分类参照表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905"/>
        <w:gridCol w:w="11369"/>
      </w:tblGrid>
      <w:tr w14:paraId="356AC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900" w:type="dxa"/>
            <w:vAlign w:val="center"/>
          </w:tcPr>
          <w:p w14:paraId="718D26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905" w:type="dxa"/>
            <w:vAlign w:val="center"/>
          </w:tcPr>
          <w:p w14:paraId="7F6C11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实验室分类</w:t>
            </w:r>
          </w:p>
        </w:tc>
        <w:tc>
          <w:tcPr>
            <w:tcW w:w="11369" w:type="dxa"/>
            <w:vAlign w:val="center"/>
          </w:tcPr>
          <w:p w14:paraId="1F09A26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黑体" w:hAnsi="黑体" w:eastAsia="黑体" w:cs="黑体"/>
                <w:snapToGrid w:val="0"/>
                <w:color w:val="000000"/>
                <w:spacing w:val="-6"/>
                <w:kern w:val="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分类参照依据</w:t>
            </w:r>
          </w:p>
        </w:tc>
      </w:tr>
      <w:tr w14:paraId="165DD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900" w:type="dxa"/>
          </w:tcPr>
          <w:p w14:paraId="221BCE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1297A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905" w:type="dxa"/>
          </w:tcPr>
          <w:p w14:paraId="6210AFF4">
            <w:pPr>
              <w:keepNext w:val="0"/>
              <w:keepLines w:val="0"/>
              <w:widowControl/>
              <w:suppressLineNumbers w:val="0"/>
              <w:jc w:val="left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028148F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化学类实验室</w:t>
            </w:r>
          </w:p>
          <w:p w14:paraId="7B4310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369" w:type="dxa"/>
            <w:vAlign w:val="center"/>
          </w:tcPr>
          <w:p w14:paraId="70FADA2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包括从事化学、药学、化学工程、环境科学与工程、材料科学与工程等较多涉及化学试剂或化学反应 </w:t>
            </w:r>
          </w:p>
          <w:p w14:paraId="73CE014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的实验室。这类实验中的危险源分为两类，一类是易燃、易爆、有毒化学品（含实验气体）可能带来 </w:t>
            </w:r>
          </w:p>
          <w:p w14:paraId="72B6E28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的化学性危险源，另一类是设备设施缺陷和防护缺陷所带来的物理性危险源</w:t>
            </w:r>
          </w:p>
        </w:tc>
      </w:tr>
      <w:tr w14:paraId="74D8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51A22D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1AD77A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51C775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905" w:type="dxa"/>
          </w:tcPr>
          <w:p w14:paraId="2FF9B589">
            <w:pPr>
              <w:keepNext w:val="0"/>
              <w:keepLines w:val="0"/>
              <w:widowControl/>
              <w:suppressLineNumbers w:val="0"/>
              <w:jc w:val="left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73B9864E">
            <w:pPr>
              <w:keepNext w:val="0"/>
              <w:keepLines w:val="0"/>
              <w:widowControl/>
              <w:suppressLineNumbers w:val="0"/>
              <w:jc w:val="left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3B9A350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生物类实验室</w:t>
            </w:r>
          </w:p>
          <w:p w14:paraId="223529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黑体" w:hAnsi="黑体" w:eastAsia="黑体" w:cs="黑体"/>
                <w:snapToGrid w:val="0"/>
                <w:color w:val="000000"/>
                <w:spacing w:val="-6"/>
                <w:kern w:val="0"/>
                <w:sz w:val="31"/>
                <w:szCs w:val="31"/>
                <w:vertAlign w:val="baseline"/>
                <w:lang w:val="en-US" w:eastAsia="zh-CN"/>
              </w:rPr>
            </w:pPr>
          </w:p>
        </w:tc>
        <w:tc>
          <w:tcPr>
            <w:tcW w:w="11369" w:type="dxa"/>
            <w:vAlign w:val="center"/>
          </w:tcPr>
          <w:p w14:paraId="32B38EB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包括从事基因工程、微生物学等生物和医学专业中较多涉及病毒、细菌、真菌等微生物研究和动物研 </w:t>
            </w:r>
          </w:p>
          <w:p w14:paraId="7A3CA97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究的实验室。这类实验室中细菌、病毒、真菌、寄生虫、动物寄生微生物等为主要危险源，它们的释 </w:t>
            </w:r>
          </w:p>
          <w:p w14:paraId="7B249F9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放、扩散可能会污染实验室内外环境的空气、水、物体表面或感染人体。涉及病原微生物的实验室应 </w:t>
            </w:r>
          </w:p>
          <w:p w14:paraId="6418E3E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进行相应的审批或备案</w:t>
            </w:r>
          </w:p>
        </w:tc>
      </w:tr>
      <w:tr w14:paraId="336E6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1F7510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707354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55E8D1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905" w:type="dxa"/>
          </w:tcPr>
          <w:p w14:paraId="7D319887">
            <w:pPr>
              <w:keepNext w:val="0"/>
              <w:keepLines w:val="0"/>
              <w:widowControl/>
              <w:suppressLineNumbers w:val="0"/>
              <w:jc w:val="left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2CAF5BCA">
            <w:pPr>
              <w:keepNext w:val="0"/>
              <w:keepLines w:val="0"/>
              <w:widowControl/>
              <w:suppressLineNumbers w:val="0"/>
              <w:jc w:val="left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335D1AE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辐射类实验室</w:t>
            </w:r>
          </w:p>
          <w:p w14:paraId="778EB8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黑体" w:hAnsi="黑体" w:eastAsia="黑体" w:cs="黑体"/>
                <w:snapToGrid w:val="0"/>
                <w:color w:val="000000"/>
                <w:spacing w:val="-6"/>
                <w:kern w:val="0"/>
                <w:sz w:val="31"/>
                <w:szCs w:val="31"/>
                <w:vertAlign w:val="baseline"/>
                <w:lang w:val="en-US" w:eastAsia="zh-CN"/>
              </w:rPr>
            </w:pPr>
          </w:p>
        </w:tc>
        <w:tc>
          <w:tcPr>
            <w:tcW w:w="11369" w:type="dxa"/>
            <w:vAlign w:val="center"/>
          </w:tcPr>
          <w:p w14:paraId="0BA7309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包括物理、核科学与技术、医学、生物、化学、材料科学与工程等专业方向中涉及放射性同位素、射 </w:t>
            </w:r>
          </w:p>
          <w:p w14:paraId="79CFFEA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线装置与核材料的实验室。这类实验中的危险源主要是放射性同位素、射线装置与核材料产生的电离 </w:t>
            </w:r>
          </w:p>
          <w:p w14:paraId="6FF3478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辐射，可能对人体造成内外照射伤害，也可能对环境产生放射性污染；存放或使用核材料的实验室还 </w:t>
            </w:r>
          </w:p>
          <w:p w14:paraId="444B9B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存在核安全风险</w:t>
            </w:r>
          </w:p>
        </w:tc>
      </w:tr>
      <w:tr w14:paraId="3020F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2C1B15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595E9B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2E8B3F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905" w:type="dxa"/>
          </w:tcPr>
          <w:p w14:paraId="6D8B222E">
            <w:pPr>
              <w:keepNext w:val="0"/>
              <w:keepLines w:val="0"/>
              <w:widowControl/>
              <w:suppressLineNumbers w:val="0"/>
              <w:jc w:val="left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66D4AB4">
            <w:pPr>
              <w:keepNext w:val="0"/>
              <w:keepLines w:val="0"/>
              <w:widowControl/>
              <w:suppressLineNumbers w:val="0"/>
              <w:jc w:val="left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2FE56EB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机电类实验室</w:t>
            </w:r>
          </w:p>
          <w:p w14:paraId="088313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黑体" w:hAnsi="黑体" w:eastAsia="黑体" w:cs="黑体"/>
                <w:snapToGrid w:val="0"/>
                <w:color w:val="000000"/>
                <w:spacing w:val="-6"/>
                <w:kern w:val="0"/>
                <w:sz w:val="31"/>
                <w:szCs w:val="31"/>
                <w:vertAlign w:val="baseline"/>
                <w:lang w:val="en-US" w:eastAsia="zh-CN"/>
              </w:rPr>
            </w:pPr>
          </w:p>
        </w:tc>
        <w:tc>
          <w:tcPr>
            <w:tcW w:w="11369" w:type="dxa"/>
            <w:vAlign w:val="center"/>
          </w:tcPr>
          <w:p w14:paraId="08D7CF6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包括机械设计与制造、过程装备与控制、化工机械、材料物理、电气工程、激光工程和人工智能等专 </w:t>
            </w:r>
          </w:p>
          <w:p w14:paraId="5EB5A8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业方向中涉及高温、高压、高速、高大等机械设备及其他强电、强磁、激光或低温设备的实验室，以 </w:t>
            </w:r>
          </w:p>
          <w:p w14:paraId="291D21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及大型机房等。这类实验室的主要危险包括夹击、碰撞、剪切、卷入、绞、碾、割、刺等形式的机械 </w:t>
            </w:r>
          </w:p>
          <w:p w14:paraId="3E3DDF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伤害以及灼伤、电路短路、人员触电、激光伤害、冻伤等因素</w:t>
            </w:r>
          </w:p>
        </w:tc>
      </w:tr>
      <w:tr w14:paraId="1B72D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900" w:type="dxa"/>
          </w:tcPr>
          <w:p w14:paraId="17284D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85043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905" w:type="dxa"/>
          </w:tcPr>
          <w:p w14:paraId="5B953F02">
            <w:pPr>
              <w:keepNext w:val="0"/>
              <w:keepLines w:val="0"/>
              <w:widowControl/>
              <w:suppressLineNumbers w:val="0"/>
              <w:jc w:val="both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078614F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黑体" w:hAnsi="黑体" w:eastAsia="黑体" w:cs="黑体"/>
                <w:snapToGrid w:val="0"/>
                <w:color w:val="000000"/>
                <w:spacing w:val="-6"/>
                <w:kern w:val="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其他类实验室</w:t>
            </w:r>
          </w:p>
        </w:tc>
        <w:tc>
          <w:tcPr>
            <w:tcW w:w="11369" w:type="dxa"/>
            <w:vAlign w:val="center"/>
          </w:tcPr>
          <w:p w14:paraId="51C9FCE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包括社科类、艺术类专业相关的实验室或实训室，危险源主要是少量的用电设备可能带来的用电安全 </w:t>
            </w:r>
          </w:p>
          <w:p w14:paraId="7A2298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或消防安全风险</w:t>
            </w:r>
          </w:p>
        </w:tc>
      </w:tr>
    </w:tbl>
    <w:p w14:paraId="19ECBFBB">
      <w:pPr>
        <w:spacing w:before="101" w:line="226" w:lineRule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-6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66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pacing w:val="-6"/>
          <w:sz w:val="32"/>
          <w:szCs w:val="32"/>
        </w:rPr>
        <w:t>4</w:t>
      </w:r>
    </w:p>
    <w:p w14:paraId="3E9391C1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en-US" w:bidi="ar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高校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en-US" w:bidi="ar"/>
        </w:rPr>
        <w:t>实验室分级管理要求参照表</w:t>
      </w:r>
    </w:p>
    <w:tbl>
      <w:tblPr>
        <w:tblStyle w:val="7"/>
        <w:tblW w:w="1410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9"/>
        <w:gridCol w:w="3585"/>
        <w:gridCol w:w="3525"/>
        <w:gridCol w:w="2805"/>
        <w:gridCol w:w="2767"/>
      </w:tblGrid>
      <w:tr w14:paraId="41B9B0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419" w:type="dxa"/>
            <w:vMerge w:val="restart"/>
            <w:tcBorders>
              <w:bottom w:val="nil"/>
            </w:tcBorders>
            <w:noWrap w:val="0"/>
            <w:vAlign w:val="center"/>
          </w:tcPr>
          <w:p w14:paraId="77566A78">
            <w:pPr>
              <w:spacing w:before="121" w:line="219" w:lineRule="auto"/>
              <w:ind w:left="161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</w:rPr>
              <w:t>管理要求</w:t>
            </w:r>
          </w:p>
        </w:tc>
        <w:tc>
          <w:tcPr>
            <w:tcW w:w="12682" w:type="dxa"/>
            <w:gridSpan w:val="4"/>
            <w:noWrap w:val="0"/>
            <w:vAlign w:val="center"/>
          </w:tcPr>
          <w:p w14:paraId="5F1EF712">
            <w:pPr>
              <w:spacing w:before="122" w:line="213" w:lineRule="auto"/>
              <w:ind w:left="5464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</w:rPr>
              <w:t>实验室分级</w:t>
            </w:r>
          </w:p>
        </w:tc>
      </w:tr>
      <w:tr w14:paraId="3DD194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419" w:type="dxa"/>
            <w:vMerge w:val="continue"/>
            <w:tcBorders>
              <w:top w:val="nil"/>
            </w:tcBorders>
            <w:noWrap w:val="0"/>
            <w:vAlign w:val="center"/>
          </w:tcPr>
          <w:p w14:paraId="3E1A0901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3585" w:type="dxa"/>
            <w:noWrap w:val="0"/>
            <w:vAlign w:val="center"/>
          </w:tcPr>
          <w:p w14:paraId="1134AE25">
            <w:pPr>
              <w:spacing w:before="115" w:line="215" w:lineRule="auto"/>
              <w:ind w:left="575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0"/>
                <w:sz w:val="24"/>
                <w:szCs w:val="24"/>
              </w:rPr>
              <w:t>Ⅰ级/红色级实验室</w:t>
            </w:r>
          </w:p>
        </w:tc>
        <w:tc>
          <w:tcPr>
            <w:tcW w:w="3525" w:type="dxa"/>
            <w:noWrap w:val="0"/>
            <w:vAlign w:val="center"/>
          </w:tcPr>
          <w:p w14:paraId="38A55BD6">
            <w:pPr>
              <w:spacing w:before="115" w:line="215" w:lineRule="auto"/>
              <w:ind w:left="54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 w:val="24"/>
                <w:szCs w:val="24"/>
              </w:rPr>
              <w:t>Ⅱ级/橙色级实验室</w:t>
            </w:r>
          </w:p>
        </w:tc>
        <w:tc>
          <w:tcPr>
            <w:tcW w:w="2805" w:type="dxa"/>
            <w:noWrap w:val="0"/>
            <w:vAlign w:val="center"/>
          </w:tcPr>
          <w:p w14:paraId="33E570B8">
            <w:pPr>
              <w:spacing w:before="115" w:line="215" w:lineRule="auto"/>
              <w:ind w:left="499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4"/>
                <w:szCs w:val="24"/>
              </w:rPr>
              <w:t>Ⅲ级/黄色级实验室</w:t>
            </w:r>
          </w:p>
        </w:tc>
        <w:tc>
          <w:tcPr>
            <w:tcW w:w="2767" w:type="dxa"/>
            <w:noWrap w:val="0"/>
            <w:vAlign w:val="center"/>
          </w:tcPr>
          <w:p w14:paraId="06F17CBA">
            <w:pPr>
              <w:spacing w:before="115" w:line="215" w:lineRule="auto"/>
              <w:ind w:left="51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Ⅳ级/蓝色级实验室</w:t>
            </w:r>
          </w:p>
        </w:tc>
      </w:tr>
      <w:tr w14:paraId="765DD6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0" w:hRule="atLeast"/>
          <w:jc w:val="center"/>
        </w:trPr>
        <w:tc>
          <w:tcPr>
            <w:tcW w:w="1419" w:type="dxa"/>
            <w:noWrap w:val="0"/>
            <w:vAlign w:val="center"/>
          </w:tcPr>
          <w:p w14:paraId="6866FC82">
            <w:pPr>
              <w:pStyle w:val="6"/>
              <w:spacing w:before="78" w:line="216" w:lineRule="auto"/>
              <w:ind w:left="16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安全检查</w:t>
            </w:r>
          </w:p>
        </w:tc>
        <w:tc>
          <w:tcPr>
            <w:tcW w:w="3585" w:type="dxa"/>
            <w:noWrap w:val="0"/>
            <w:vAlign w:val="center"/>
          </w:tcPr>
          <w:p w14:paraId="3FC4021F">
            <w:pPr>
              <w:pStyle w:val="6"/>
              <w:spacing w:before="117" w:line="294" w:lineRule="auto"/>
              <w:ind w:right="105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>学校党政主要负责人每年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牵头开展不少于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次安全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检查；学校主管职能部门每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月开展不少于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次安全检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查；二级单位每周开展不少</w:t>
            </w: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于</w:t>
            </w:r>
            <w:r>
              <w:rPr>
                <w:rFonts w:hint="eastAsia" w:ascii="仿宋" w:hAnsi="仿宋" w:eastAsia="仿宋" w:cs="仿宋"/>
                <w:spacing w:val="-3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pacing w:val="-4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次安全检查；实验室做</w:t>
            </w:r>
            <w:r>
              <w:rPr>
                <w:rFonts w:hint="eastAsia" w:ascii="仿宋" w:hAnsi="仿宋" w:eastAsia="仿宋" w:cs="仿宋"/>
                <w:spacing w:val="12"/>
                <w:sz w:val="24"/>
                <w:szCs w:val="24"/>
              </w:rPr>
              <w:t>到“实验结束必巡”</w:t>
            </w:r>
          </w:p>
        </w:tc>
        <w:tc>
          <w:tcPr>
            <w:tcW w:w="3525" w:type="dxa"/>
            <w:noWrap w:val="0"/>
            <w:vAlign w:val="center"/>
          </w:tcPr>
          <w:p w14:paraId="08172893">
            <w:pPr>
              <w:pStyle w:val="6"/>
              <w:spacing w:before="117" w:line="294" w:lineRule="auto"/>
              <w:ind w:right="104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>分管校领导每年牵头开展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不少于</w:t>
            </w:r>
            <w:r>
              <w:rPr>
                <w:rFonts w:hint="eastAsia" w:ascii="仿宋" w:hAnsi="仿宋" w:eastAsia="仿宋" w:cs="仿宋"/>
                <w:spacing w:val="-29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pacing w:val="-4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次安全检查；学校</w:t>
            </w: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>主管职能部门每季度开展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不少于</w:t>
            </w:r>
            <w:r>
              <w:rPr>
                <w:rFonts w:hint="eastAsia" w:ascii="仿宋" w:hAnsi="仿宋" w:eastAsia="仿宋" w:cs="仿宋"/>
                <w:spacing w:val="-29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pacing w:val="-4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次安全检查；二级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单位每月开展不少于</w:t>
            </w:r>
            <w:r>
              <w:rPr>
                <w:rFonts w:hint="eastAsia" w:ascii="仿宋" w:hAnsi="仿宋" w:eastAsia="仿宋" w:cs="仿宋"/>
                <w:spacing w:val="-17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次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安全检查；实验室做到“实</w:t>
            </w:r>
            <w:r>
              <w:rPr>
                <w:rFonts w:hint="eastAsia" w:ascii="仿宋" w:hAnsi="仿宋" w:eastAsia="仿宋" w:cs="仿宋"/>
                <w:spacing w:val="18"/>
                <w:sz w:val="24"/>
                <w:szCs w:val="24"/>
              </w:rPr>
              <w:t>验结束必巡”</w:t>
            </w:r>
          </w:p>
        </w:tc>
        <w:tc>
          <w:tcPr>
            <w:tcW w:w="2805" w:type="dxa"/>
            <w:noWrap w:val="0"/>
            <w:vAlign w:val="center"/>
          </w:tcPr>
          <w:p w14:paraId="416F648C">
            <w:pPr>
              <w:pStyle w:val="6"/>
              <w:spacing w:before="78" w:line="302" w:lineRule="auto"/>
              <w:ind w:right="99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>学校主管职能部门每半年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开展不少于</w:t>
            </w:r>
            <w:r>
              <w:rPr>
                <w:rFonts w:hint="eastAsia" w:ascii="仿宋" w:hAnsi="仿宋" w:eastAsia="仿宋" w:cs="仿宋"/>
                <w:spacing w:val="-3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pacing w:val="-4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次安全检查；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>二级单位每季度开展不少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于</w:t>
            </w:r>
            <w:r>
              <w:rPr>
                <w:rFonts w:hint="eastAsia" w:ascii="仿宋" w:hAnsi="仿宋" w:eastAsia="仿宋" w:cs="仿宋"/>
                <w:spacing w:val="-35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pacing w:val="-4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次安全检查；实验室做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到经常性检查</w:t>
            </w:r>
          </w:p>
        </w:tc>
        <w:tc>
          <w:tcPr>
            <w:tcW w:w="2767" w:type="dxa"/>
            <w:noWrap w:val="0"/>
            <w:vAlign w:val="center"/>
          </w:tcPr>
          <w:p w14:paraId="7B697E07">
            <w:pPr>
              <w:pStyle w:val="6"/>
              <w:spacing w:before="78" w:line="302" w:lineRule="auto"/>
              <w:ind w:right="106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>学校主管职能部门每年开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展不少于</w:t>
            </w:r>
            <w:r>
              <w:rPr>
                <w:rFonts w:hint="eastAsia" w:ascii="仿宋" w:hAnsi="仿宋" w:eastAsia="仿宋" w:cs="仿宋"/>
                <w:spacing w:val="-29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pacing w:val="-4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次安全检查；二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级单位每半年开展不少于</w:t>
            </w:r>
            <w:r>
              <w:rPr>
                <w:rFonts w:hint="eastAsia"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次安全检查；实验室做到经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常性检查</w:t>
            </w:r>
          </w:p>
        </w:tc>
      </w:tr>
      <w:tr w14:paraId="410F55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5" w:hRule="atLeast"/>
          <w:jc w:val="center"/>
        </w:trPr>
        <w:tc>
          <w:tcPr>
            <w:tcW w:w="1419" w:type="dxa"/>
            <w:noWrap w:val="0"/>
            <w:vAlign w:val="center"/>
          </w:tcPr>
          <w:p w14:paraId="4EC013E0">
            <w:pPr>
              <w:pStyle w:val="6"/>
              <w:spacing w:before="117" w:line="294" w:lineRule="auto"/>
              <w:ind w:right="105"/>
              <w:jc w:val="both"/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>安全培训</w:t>
            </w:r>
          </w:p>
        </w:tc>
        <w:tc>
          <w:tcPr>
            <w:tcW w:w="3585" w:type="dxa"/>
            <w:noWrap w:val="0"/>
            <w:vAlign w:val="center"/>
          </w:tcPr>
          <w:p w14:paraId="1572E4AD">
            <w:pPr>
              <w:pStyle w:val="6"/>
              <w:spacing w:before="117" w:line="294" w:lineRule="auto"/>
              <w:ind w:right="105"/>
              <w:jc w:val="both"/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>实验室安全管理人员、实验人员完成不少于24学时的准入安全培训，之后每年完 成不少于8学时的安全培训（以上均含应急演练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  <w:lang w:eastAsia="zh-CN"/>
              </w:rPr>
              <w:t>）；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 xml:space="preserve"> 每年开展不少于2次应急演练（含针对重要危险源的应急演练）</w:t>
            </w:r>
          </w:p>
        </w:tc>
        <w:tc>
          <w:tcPr>
            <w:tcW w:w="3525" w:type="dxa"/>
            <w:noWrap w:val="0"/>
            <w:vAlign w:val="center"/>
          </w:tcPr>
          <w:p w14:paraId="51C82BB9">
            <w:pPr>
              <w:pStyle w:val="6"/>
              <w:spacing w:before="117" w:line="294" w:lineRule="auto"/>
              <w:ind w:right="105"/>
              <w:jc w:val="both"/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>实验室安全管理人员、实验 人员完成不少于16学时的准入安全培训，之后每年完成不少于4学时的安全培训（以上均含应急演练）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  <w:lang w:val="en-US" w:eastAsia="zh-CN"/>
              </w:rPr>
              <w:t>;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>每年开展不少于1次应急演练（含针对重要危险源的应急演练）</w:t>
            </w:r>
          </w:p>
        </w:tc>
        <w:tc>
          <w:tcPr>
            <w:tcW w:w="2805" w:type="dxa"/>
            <w:noWrap w:val="0"/>
            <w:vAlign w:val="center"/>
          </w:tcPr>
          <w:p w14:paraId="0914D85D">
            <w:pPr>
              <w:pStyle w:val="6"/>
              <w:spacing w:before="117" w:line="294" w:lineRule="auto"/>
              <w:ind w:right="105"/>
              <w:jc w:val="both"/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>实验室安全管理人员、实验人员完成不少于8 学时的准入安全培训，之后每年完成不少于2 学时的安全培 训（以上均含应急演练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  <w:lang w:eastAsia="zh-CN"/>
              </w:rPr>
              <w:t>）；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>实验室每年开展不少于1次应急演练</w:t>
            </w:r>
          </w:p>
        </w:tc>
        <w:tc>
          <w:tcPr>
            <w:tcW w:w="2767" w:type="dxa"/>
            <w:noWrap w:val="0"/>
            <w:vAlign w:val="center"/>
          </w:tcPr>
          <w:p w14:paraId="1833F069">
            <w:pPr>
              <w:pStyle w:val="6"/>
              <w:spacing w:before="117" w:line="294" w:lineRule="auto"/>
              <w:ind w:right="105"/>
              <w:jc w:val="both"/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>实验室安全管理人员、实验人员完成不少于 4学时的准入安全培训，之后每年根据学校实际需要安排适量的安全培训（以上均含应急演练）；每年开展不少于1次应急演练</w:t>
            </w:r>
          </w:p>
        </w:tc>
      </w:tr>
      <w:tr w14:paraId="50720F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419" w:type="dxa"/>
            <w:vMerge w:val="restart"/>
            <w:tcBorders>
              <w:bottom w:val="nil"/>
            </w:tcBorders>
            <w:noWrap w:val="0"/>
            <w:vAlign w:val="center"/>
          </w:tcPr>
          <w:p w14:paraId="62CFC3F4">
            <w:pPr>
              <w:spacing w:before="121" w:line="219" w:lineRule="auto"/>
              <w:ind w:left="161"/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lang w:val="en-US" w:eastAsia="en-US"/>
              </w:rPr>
              <w:t>管理要求</w:t>
            </w:r>
          </w:p>
        </w:tc>
        <w:tc>
          <w:tcPr>
            <w:tcW w:w="12682" w:type="dxa"/>
            <w:gridSpan w:val="4"/>
            <w:noWrap w:val="0"/>
            <w:vAlign w:val="center"/>
          </w:tcPr>
          <w:p w14:paraId="246936DF">
            <w:pPr>
              <w:spacing w:before="121" w:line="219" w:lineRule="auto"/>
              <w:ind w:left="161"/>
              <w:jc w:val="center"/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lang w:val="en-US" w:eastAsia="en-US"/>
              </w:rPr>
              <w:t>实验室分级</w:t>
            </w:r>
          </w:p>
        </w:tc>
      </w:tr>
      <w:tr w14:paraId="263EE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419" w:type="dxa"/>
            <w:vMerge w:val="continue"/>
            <w:tcBorders>
              <w:top w:val="nil"/>
            </w:tcBorders>
            <w:noWrap w:val="0"/>
            <w:vAlign w:val="center"/>
          </w:tcPr>
          <w:p w14:paraId="71A43D6E">
            <w:pPr>
              <w:spacing w:before="121" w:line="219" w:lineRule="auto"/>
              <w:ind w:left="161"/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lang w:val="en-US" w:eastAsia="en-US"/>
              </w:rPr>
            </w:pPr>
          </w:p>
        </w:tc>
        <w:tc>
          <w:tcPr>
            <w:tcW w:w="3585" w:type="dxa"/>
            <w:noWrap w:val="0"/>
            <w:vAlign w:val="center"/>
          </w:tcPr>
          <w:p w14:paraId="5680A523">
            <w:pPr>
              <w:spacing w:before="121" w:line="219" w:lineRule="auto"/>
              <w:ind w:left="161"/>
              <w:jc w:val="center"/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lang w:val="en-US" w:eastAsia="en-US"/>
              </w:rPr>
              <w:t>Ⅰ级/红色级实验室</w:t>
            </w:r>
          </w:p>
        </w:tc>
        <w:tc>
          <w:tcPr>
            <w:tcW w:w="3525" w:type="dxa"/>
            <w:noWrap w:val="0"/>
            <w:vAlign w:val="center"/>
          </w:tcPr>
          <w:p w14:paraId="10C7F1EC">
            <w:pPr>
              <w:spacing w:before="121" w:line="219" w:lineRule="auto"/>
              <w:ind w:left="161"/>
              <w:jc w:val="center"/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lang w:val="en-US" w:eastAsia="en-US"/>
              </w:rPr>
              <w:t>Ⅱ级/橙色级实验室</w:t>
            </w:r>
          </w:p>
        </w:tc>
        <w:tc>
          <w:tcPr>
            <w:tcW w:w="2805" w:type="dxa"/>
            <w:noWrap w:val="0"/>
            <w:vAlign w:val="center"/>
          </w:tcPr>
          <w:p w14:paraId="6B655279">
            <w:pPr>
              <w:spacing w:before="121" w:line="219" w:lineRule="auto"/>
              <w:ind w:left="161"/>
              <w:jc w:val="center"/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lang w:val="en-US" w:eastAsia="en-US"/>
              </w:rPr>
              <w:t>Ⅲ级/黄色级实验室</w:t>
            </w:r>
          </w:p>
        </w:tc>
        <w:tc>
          <w:tcPr>
            <w:tcW w:w="2767" w:type="dxa"/>
            <w:noWrap w:val="0"/>
            <w:vAlign w:val="center"/>
          </w:tcPr>
          <w:p w14:paraId="11D1D2B0">
            <w:pPr>
              <w:spacing w:before="121" w:line="219" w:lineRule="auto"/>
              <w:ind w:left="161"/>
              <w:jc w:val="center"/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lang w:val="en-US" w:eastAsia="en-US"/>
              </w:rPr>
              <w:t>Ⅳ级/蓝色级实验室</w:t>
            </w:r>
          </w:p>
        </w:tc>
      </w:tr>
      <w:tr w14:paraId="39CE94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5" w:hRule="atLeast"/>
          <w:jc w:val="center"/>
        </w:trPr>
        <w:tc>
          <w:tcPr>
            <w:tcW w:w="1419" w:type="dxa"/>
            <w:noWrap w:val="0"/>
            <w:vAlign w:val="center"/>
          </w:tcPr>
          <w:p w14:paraId="42FFC2F1">
            <w:pPr>
              <w:pStyle w:val="6"/>
              <w:spacing w:before="78" w:line="216" w:lineRule="auto"/>
              <w:ind w:left="161"/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  <w:t>安全评估</w:t>
            </w:r>
          </w:p>
        </w:tc>
        <w:tc>
          <w:tcPr>
            <w:tcW w:w="3585" w:type="dxa"/>
            <w:noWrap w:val="0"/>
            <w:vAlign w:val="center"/>
          </w:tcPr>
          <w:p w14:paraId="243CAAA8">
            <w:pPr>
              <w:pStyle w:val="6"/>
              <w:spacing w:before="117" w:line="297" w:lineRule="auto"/>
              <w:ind w:right="101"/>
              <w:jc w:val="both"/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  <w:t>科研项目、学生课题等实验 活动应进行安全风险评估； 涉及重要危险源的实验活动应在二级单位备案，学校 不定期抽查；针对重要危险源制定相应的管理办法和应急措施，责任到人；每年开展不少于1次针对重要危险源的应急演练</w:t>
            </w:r>
          </w:p>
        </w:tc>
        <w:tc>
          <w:tcPr>
            <w:tcW w:w="3525" w:type="dxa"/>
            <w:noWrap w:val="0"/>
            <w:vAlign w:val="center"/>
          </w:tcPr>
          <w:p w14:paraId="0CD84444">
            <w:pPr>
              <w:pStyle w:val="6"/>
              <w:spacing w:before="117" w:line="297" w:lineRule="auto"/>
              <w:ind w:right="100"/>
              <w:jc w:val="both"/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  <w:t>科研项目、学生课题等实验 活动应进行安全风险评估； 涉及重要危险源的实验活动应在二级单位备案，学校不定期抽查；针对重要危险 源制定相应的管理办法和应急措施，责任到人；每年开展不少于1次针对重要 危险源的应急演练</w:t>
            </w:r>
          </w:p>
        </w:tc>
        <w:tc>
          <w:tcPr>
            <w:tcW w:w="2805" w:type="dxa"/>
            <w:noWrap w:val="0"/>
            <w:vAlign w:val="center"/>
          </w:tcPr>
          <w:p w14:paraId="060C984D">
            <w:pPr>
              <w:pStyle w:val="6"/>
              <w:spacing w:before="315" w:line="304" w:lineRule="auto"/>
              <w:ind w:right="99"/>
              <w:jc w:val="both"/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  <w:t>科研项目、学生课题等实验 活动应进行安全风险评估； 涉及重要危险源的实验活动应在二级单位备案，二级单位不定期抽查；二级单位判断如有必要，可临时按更高等级实验室安全要求进行管理</w:t>
            </w:r>
          </w:p>
        </w:tc>
        <w:tc>
          <w:tcPr>
            <w:tcW w:w="2767" w:type="dxa"/>
            <w:noWrap w:val="0"/>
            <w:vAlign w:val="center"/>
          </w:tcPr>
          <w:p w14:paraId="6721F123">
            <w:pPr>
              <w:pStyle w:val="6"/>
              <w:spacing w:before="315" w:line="304" w:lineRule="auto"/>
              <w:ind w:right="102"/>
              <w:jc w:val="both"/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  <w:t>科研项目、学生课题等实验 活动应进行安全风险评估； 涉及重要危险源的实验活动应在二级单位备案，二级单位不定期抽查；二级单位判断如有必要，可临时按更高等级实验室安全要求进行管理</w:t>
            </w:r>
          </w:p>
        </w:tc>
      </w:tr>
      <w:tr w14:paraId="561E6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2" w:hRule="atLeast"/>
          <w:jc w:val="center"/>
        </w:trPr>
        <w:tc>
          <w:tcPr>
            <w:tcW w:w="1419" w:type="dxa"/>
            <w:noWrap w:val="0"/>
            <w:vAlign w:val="center"/>
          </w:tcPr>
          <w:p w14:paraId="58F105E9">
            <w:pPr>
              <w:spacing w:line="257" w:lineRule="auto"/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</w:pPr>
          </w:p>
          <w:p w14:paraId="7D9BC8F2">
            <w:pPr>
              <w:spacing w:line="257" w:lineRule="auto"/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</w:pPr>
          </w:p>
          <w:p w14:paraId="6AE3E035">
            <w:pPr>
              <w:spacing w:line="257" w:lineRule="auto"/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</w:pPr>
          </w:p>
          <w:p w14:paraId="15ACD8F0">
            <w:pPr>
              <w:spacing w:line="257" w:lineRule="auto"/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</w:pPr>
          </w:p>
          <w:p w14:paraId="66EEA98F">
            <w:pPr>
              <w:spacing w:line="258" w:lineRule="auto"/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</w:pPr>
          </w:p>
          <w:p w14:paraId="16A51BCC">
            <w:pPr>
              <w:pStyle w:val="6"/>
              <w:spacing w:before="78" w:line="214" w:lineRule="auto"/>
              <w:ind w:left="158"/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  <w:t>条件保障</w:t>
            </w:r>
          </w:p>
        </w:tc>
        <w:tc>
          <w:tcPr>
            <w:tcW w:w="3585" w:type="dxa"/>
            <w:noWrap w:val="0"/>
            <w:vAlign w:val="center"/>
          </w:tcPr>
          <w:p w14:paraId="7585362C">
            <w:pPr>
              <w:pStyle w:val="6"/>
              <w:spacing w:before="177" w:line="300" w:lineRule="auto"/>
              <w:ind w:right="105"/>
              <w:jc w:val="both"/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  <w:t>高风险点位安装监控和必要的监测报警装置；危化品等重要危险源存储严格执行治安管控或其他部门监管要求；配备充足的专职实验室安全管理人员；配备必要的个体防护设备设施</w:t>
            </w:r>
          </w:p>
        </w:tc>
        <w:tc>
          <w:tcPr>
            <w:tcW w:w="3525" w:type="dxa"/>
            <w:noWrap w:val="0"/>
            <w:vAlign w:val="center"/>
          </w:tcPr>
          <w:p w14:paraId="381E4097">
            <w:pPr>
              <w:pStyle w:val="6"/>
              <w:spacing w:before="177" w:line="300" w:lineRule="auto"/>
              <w:ind w:right="104"/>
              <w:jc w:val="both"/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  <w:t>高风险点位安装监控和必要的监测报警装置；危化品等重要危险源存储严格执行治安管控或其他部门监管要求；配备充足的专职实验室安全管理人员；配备必要的个体防护设备设施</w:t>
            </w:r>
          </w:p>
        </w:tc>
        <w:tc>
          <w:tcPr>
            <w:tcW w:w="2805" w:type="dxa"/>
            <w:noWrap w:val="0"/>
            <w:vAlign w:val="center"/>
          </w:tcPr>
          <w:p w14:paraId="7A6C6B91">
            <w:pPr>
              <w:pStyle w:val="6"/>
              <w:spacing w:before="78" w:line="302" w:lineRule="auto"/>
              <w:ind w:right="103"/>
              <w:jc w:val="both"/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  <w:t>在重要风险点位安装监控和必要的监测报警装置；配备充足的兼职实验室安全管理人员；配备必要的个体 防护设备设施</w:t>
            </w:r>
          </w:p>
        </w:tc>
        <w:tc>
          <w:tcPr>
            <w:tcW w:w="2767" w:type="dxa"/>
            <w:noWrap w:val="0"/>
            <w:vAlign w:val="center"/>
          </w:tcPr>
          <w:p w14:paraId="32371A4A">
            <w:pPr>
              <w:pStyle w:val="6"/>
              <w:spacing w:before="78" w:line="298" w:lineRule="auto"/>
              <w:ind w:right="106"/>
              <w:jc w:val="both"/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13"/>
                <w:kern w:val="2"/>
                <w:sz w:val="24"/>
                <w:szCs w:val="24"/>
                <w:lang w:val="en-US" w:eastAsia="en-US" w:bidi="ar-SA"/>
              </w:rPr>
              <w:t>配备必要的兼职实验室安全管理人员；配备必要的个体防护设备设施</w:t>
            </w:r>
          </w:p>
        </w:tc>
      </w:tr>
    </w:tbl>
    <w:p w14:paraId="5165AE20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default" w:ascii="黑体" w:hAnsi="黑体" w:eastAsia="黑体" w:cs="黑体"/>
          <w:snapToGrid w:val="0"/>
          <w:color w:val="000000"/>
          <w:spacing w:val="-6"/>
          <w:kern w:val="0"/>
          <w:sz w:val="31"/>
          <w:szCs w:val="3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8101D">
    <w:pPr>
      <w:spacing w:line="174" w:lineRule="auto"/>
      <w:ind w:left="130"/>
      <w:rPr>
        <w:rFonts w:ascii="仿宋" w:hAnsi="仿宋" w:eastAsia="仿宋" w:cs="仿宋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3D6C3">
    <w:pPr>
      <w:spacing w:line="174" w:lineRule="auto"/>
      <w:ind w:right="18"/>
      <w:jc w:val="right"/>
      <w:rPr>
        <w:rFonts w:ascii="仿宋" w:hAnsi="仿宋" w:eastAsia="仿宋" w:cs="仿宋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D55938"/>
    <w:multiLevelType w:val="singleLevel"/>
    <w:tmpl w:val="34D55938"/>
    <w:lvl w:ilvl="0" w:tentative="0">
      <w:start w:val="1"/>
      <w:numFmt w:val="decimal"/>
      <w:suff w:val="space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3MzFkN2NkZmFkOGVjOTI0OWZjYTYzN2Q1OTEyODgifQ=="/>
  </w:docVars>
  <w:rsids>
    <w:rsidRoot w:val="1CD46E9F"/>
    <w:rsid w:val="02BA21E0"/>
    <w:rsid w:val="03575C81"/>
    <w:rsid w:val="043B4C5B"/>
    <w:rsid w:val="06AE7966"/>
    <w:rsid w:val="07C52440"/>
    <w:rsid w:val="09DF4D6D"/>
    <w:rsid w:val="0A326B00"/>
    <w:rsid w:val="0E407A3D"/>
    <w:rsid w:val="112E1DCF"/>
    <w:rsid w:val="12617F82"/>
    <w:rsid w:val="129C545E"/>
    <w:rsid w:val="12D15108"/>
    <w:rsid w:val="13F633EE"/>
    <w:rsid w:val="18055854"/>
    <w:rsid w:val="19D92AF4"/>
    <w:rsid w:val="1A791987"/>
    <w:rsid w:val="1CD46E9F"/>
    <w:rsid w:val="1D3D65B4"/>
    <w:rsid w:val="1F3A5DE3"/>
    <w:rsid w:val="20A97641"/>
    <w:rsid w:val="20F546B7"/>
    <w:rsid w:val="25405C16"/>
    <w:rsid w:val="288602EB"/>
    <w:rsid w:val="28CD5F1A"/>
    <w:rsid w:val="2A557F75"/>
    <w:rsid w:val="2AB27175"/>
    <w:rsid w:val="2D4349FC"/>
    <w:rsid w:val="31480833"/>
    <w:rsid w:val="335F3C12"/>
    <w:rsid w:val="341C673B"/>
    <w:rsid w:val="352C1CC3"/>
    <w:rsid w:val="35BE131A"/>
    <w:rsid w:val="374B6987"/>
    <w:rsid w:val="377203B8"/>
    <w:rsid w:val="37920A5A"/>
    <w:rsid w:val="37AC319E"/>
    <w:rsid w:val="399C796E"/>
    <w:rsid w:val="39E76710"/>
    <w:rsid w:val="3F23468E"/>
    <w:rsid w:val="415428DD"/>
    <w:rsid w:val="41F52311"/>
    <w:rsid w:val="43AA712C"/>
    <w:rsid w:val="47BB36B5"/>
    <w:rsid w:val="47C744A7"/>
    <w:rsid w:val="49311755"/>
    <w:rsid w:val="4D1B69A4"/>
    <w:rsid w:val="4E0B07C7"/>
    <w:rsid w:val="54522687"/>
    <w:rsid w:val="59D6437F"/>
    <w:rsid w:val="5BBC1352"/>
    <w:rsid w:val="5BC30933"/>
    <w:rsid w:val="5C62014C"/>
    <w:rsid w:val="5DFB1E4A"/>
    <w:rsid w:val="5E8A4939"/>
    <w:rsid w:val="649B41FB"/>
    <w:rsid w:val="650C6EA7"/>
    <w:rsid w:val="67775419"/>
    <w:rsid w:val="67F325A0"/>
    <w:rsid w:val="68D128E1"/>
    <w:rsid w:val="6C765525"/>
    <w:rsid w:val="6CB0280D"/>
    <w:rsid w:val="6CE626D3"/>
    <w:rsid w:val="6CEB5F3B"/>
    <w:rsid w:val="6D82064E"/>
    <w:rsid w:val="6DE2733E"/>
    <w:rsid w:val="6E5A6ED5"/>
    <w:rsid w:val="6E7361E8"/>
    <w:rsid w:val="727644F9"/>
    <w:rsid w:val="72EA39C1"/>
    <w:rsid w:val="74734E98"/>
    <w:rsid w:val="767B0330"/>
    <w:rsid w:val="76B850E0"/>
    <w:rsid w:val="781D7479"/>
    <w:rsid w:val="7C3A20F4"/>
    <w:rsid w:val="7E925766"/>
    <w:rsid w:val="7F22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autoRedefine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3378</Words>
  <Characters>3549</Characters>
  <Lines>0</Lines>
  <Paragraphs>0</Paragraphs>
  <TotalTime>273</TotalTime>
  <ScaleCrop>false</ScaleCrop>
  <LinksUpToDate>false</LinksUpToDate>
  <CharactersWithSpaces>3709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2024-04-18T03:03:00Z</dcterms:created>
  <dc:creator>李明杨</dc:creator>
  <cp:lastModifiedBy>李明杨</cp:lastModifiedBy>
  <cp:lastPrinted>2024-10-21T03:11:00Z</cp:lastPrinted>
  <dcterms:modified xsi:type="dcterms:W3CDTF">2024-10-24T08:11:33Z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DCB240BE54884839BD9E6C42DEDE1485_11</vt:lpwstr>
  </property>
</Properties>
</file>